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46.png" ContentType="image/png"/>
  <Override PartName="/word/media/rId49.png" ContentType="image/png"/>
  <Override PartName="/word/media/rId47.png" ContentType="image/png"/>
  <Override PartName="/word/media/rId52.png" ContentType="image/png"/>
  <Override PartName="/word/media/rId50.png" ContentType="image/png"/>
  <Override PartName="/word/media/rId5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2020-10-24 13:59:45</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Chl-a.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in order to separate the signal from the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mathematically equivalent to model S.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What differs is the allocation of penalties for curvature used to determine smoothness for each spline. In model SYD, there are separate penalties for the two splines.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in every year includes a spring chl-a peak. If the timing is the same in every year whereas the magnitudes vary, then the average within-year pattern will have an average magnitude and appeas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num_knits_D_ti))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num_knits_D_ti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dec_time</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dec_time</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form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In our example, such large differences in AIC would only reflect inadequate choice of knots in one or more splines.</w:t>
      </w:r>
    </w:p>
    <w:p>
      <w:pPr>
        <w:pStyle w:val="Heading3"/>
      </w:pPr>
      <w:bookmarkStart w:id="33" w:name="log-and-box-cox-transformations"/>
      <w:r>
        <w:t xml:space="preserve">Log and Box-Cox transformations</w:t>
      </w:r>
      <w:bookmarkEnd w:id="33"/>
    </w:p>
    <w:p>
      <w:pPr>
        <w:pStyle w:val="FirstParagraph"/>
      </w:pPr>
      <w:r>
        <w:t xml:space="preserve">Following previous authors, we consider base 10 log-transformed chl-a levels for analysis. To generalize this choice, we also consider Box-Cox transformations, which scale from log-transformation to no (i.e., identity) transformation as a parameter</w:t>
      </w:r>
      <w:r>
        <w:t xml:space="preserve"> </w:t>
      </w:r>
      <m:oMath>
        <m:r>
          <m:t>λ</m:t>
        </m:r>
      </m:oMath>
      <w:r>
        <w:t xml:space="preserve"> </w:t>
      </w:r>
      <w:r>
        <w:t xml:space="preserve">scales from 0 to 1. [Current status: March and Perry need to track down whether the R</w:t>
      </w:r>
      <w:r>
        <w:t xml:space="preserve"> </w:t>
      </w:r>
      <w:r>
        <w:rPr>
          <w:rStyle w:val="VerbatimChar"/>
        </w:rPr>
        <w:t xml:space="preserve">boxcox</w:t>
      </w:r>
      <w:r>
        <w:t xml:space="preserve"> </w:t>
      </w:r>
      <w:r>
        <w:t xml:space="preserve">function is doing this in an appropriate way for GAMs. Even if want to include this, it is relatively minor methodologically, so I think some details can go in appendix.]</w:t>
      </w:r>
    </w:p>
    <w:p>
      <w:pPr>
        <w:pStyle w:val="Heading3"/>
      </w:pPr>
      <w:bookmarkStart w:id="34" w:name="X5b2c03efb0c3eecc34fbcfa6f447954814a32fe"/>
      <w:r>
        <w:t xml:space="preserve">Second-stage analysis: Uncertainty propagation from estimated GAMs to seasonal features</w:t>
      </w:r>
      <w:bookmarkEnd w:id="34"/>
    </w:p>
    <w:p>
      <w:pPr>
        <w:pStyle w:val="FirstParagraph"/>
      </w:pPr>
      <w:r>
        <w:t xml:space="preserve">Next we consider the goal of estimating a seasonal average, such as the mean spring Chl-A level, and its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In what follows, subscript</w:t>
      </w:r>
      <w:r>
        <w:t xml:space="preserve"> </w:t>
      </w:r>
      <m:oMath>
        <m:r>
          <m:t>t</m:t>
        </m:r>
      </m:oMath>
      <w:r>
        <w:t xml:space="preserve"> </w:t>
      </w:r>
      <w:r>
        <w:t xml:space="preserve">will be omitted.</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dec_year</w:t>
      </w:r>
      <w:r>
        <w:t xml:space="preserve"> </w:t>
      </w:r>
      <w:r>
        <w:t xml:space="preserve">=</w:t>
      </w:r>
      <w:r>
        <w:t xml:space="preserve"> </w:t>
      </w:r>
      <m:oMath>
        <m:r>
          <m:t>r</m:t>
        </m:r>
      </m:oMath>
      <w:r>
        <w:t xml:space="preserve">,</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it need not be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 this 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The standard error of the seasonal average is</w:t>
      </w:r>
      <w:r>
        <w:t xml:space="preserve"> </w:t>
      </w:r>
      <m:oMath>
        <m:sSub>
          <m:e>
            <m:acc>
              <m:accPr>
                <m:chr m:val="̂"/>
              </m:accPr>
              <m:e>
                <m:r>
                  <m:t>σ</m:t>
                </m:r>
              </m:e>
            </m:acc>
          </m:e>
          <m:sub>
            <m:acc>
              <m:accPr>
                <m:chr m:val="̂"/>
              </m:accPr>
              <m:e>
                <m:r>
                  <m:t>μ</m:t>
                </m:r>
              </m:e>
            </m:acc>
          </m:sub>
        </m:sSub>
      </m:oMath>
      <w:r>
        <w:t xml:space="preserve">. These are all standard results based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gave a similar summary for the purpose of comparing multi-year averages of month-scale spline values for sets of years at the beginning vs. end of a time-series. [I note that equations 2-4 of Murphy et al. appear to be wrong, giving standard least-squares rather than penalized least-squares. I do not necessarily feel we should distract readers with this correction, but we could do so if desired.]</w:t>
      </w:r>
    </w:p>
    <w:p>
      <w:pPr>
        <w:pStyle w:val="BodyText"/>
      </w:pPr>
      <w:r>
        <w:t xml:space="preserve">(Here are more detailed notes on Murphy et al.</w:t>
      </w:r>
      <w:r>
        <w:t xml:space="preserve"> </w:t>
      </w:r>
      <w:hyperlink w:anchor="ref-Murphy19">
        <w:r>
          <w:rPr>
            <w:rStyle w:val="Hyperlink"/>
          </w:rPr>
          <w:t xml:space="preserve">2019</w:t>
        </w:r>
      </w:hyperlink>
      <w:r>
        <w:t xml:space="preserve">. I think this is more detail than necessary to include in a paper, but I note it here in case it is helpful for clarity among our group. I’m fairly sure we are both doing the same thing, just with slightly different notation.</w:t>
      </w:r>
      <w:r>
        <w:t xml:space="preserve"> </w:t>
      </w:r>
      <w:r>
        <w:t xml:space="preserve">@Murphy19</w:t>
      </w:r>
      <w:r>
        <w:t xml:space="preserve"> </w:t>
      </w:r>
      <w:r>
        <w:t xml:space="preserve">used the above relationships to set up a test of the null hypothesis that</w:t>
      </w:r>
      <w:r>
        <w:t xml:space="preserve"> </w:t>
      </w:r>
      <w:r>
        <w:rPr>
          <w:rStyle w:val="VerbatimChar"/>
        </w:rPr>
        <w:t xml:space="preserve">y</w:t>
      </w:r>
      <w:r>
        <w:t xml:space="preserve"> </w:t>
      </w:r>
      <w:r>
        <w:t xml:space="preserve">is the same at two times (each potentialy an average, but not shown here). To do so,</w:t>
      </w:r>
      <w:r>
        <w:t xml:space="preserve"> </w:t>
      </w:r>
      <m:oMath>
        <m:r>
          <m:rPr>
            <m:sty m:val="b"/>
          </m:rPr>
          <m:t>X</m:t>
        </m:r>
      </m:oMath>
      <w:r>
        <w:t xml:space="preserve"> </w:t>
      </w:r>
      <w:r>
        <w:t xml:space="preserve">would have two rows, one for each time. The vector</w:t>
      </w:r>
      <w:r>
        <w:t xml:space="preserve"> </w:t>
      </w:r>
      <m:oMath>
        <m:sSup>
          <m:e>
            <m:r>
              <m:t>A</m:t>
            </m:r>
          </m:e>
          <m:sup>
            <m:r>
              <m:t>T</m:t>
            </m:r>
          </m:sup>
        </m:sSup>
      </m:oMath>
      <w:r>
        <w:t xml:space="preserve"> </w:t>
      </w:r>
      <w:r>
        <w:t xml:space="preserve">would [-1, 1], so that</w:t>
      </w:r>
      <w:r>
        <w:t xml:space="preserve"> </w:t>
      </w:r>
      <m:oMath>
        <m:sSup>
          <m:e>
            <m:r>
              <m:t>A</m:t>
            </m:r>
          </m:e>
          <m:sup>
            <m:r>
              <m:t>T</m:t>
            </m:r>
          </m:sup>
        </m:sSup>
        <m:r>
          <m:rPr>
            <m:sty m:val="b"/>
          </m:rPr>
          <m:t>X</m:t>
        </m:r>
      </m:oMath>
      <w:r>
        <w:t xml:space="preserve"> </w:t>
      </w:r>
      <w:r>
        <w:t xml:space="preserve">gives the point estimate of the difference in Chl-A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One can then determine if the difference is significantly different from 0. For me, the most confusing statement of the explanation in</w:t>
      </w:r>
      <w:r>
        <w:t xml:space="preserve"> </w:t>
      </w:r>
      <w:r>
        <w:t xml:space="preserve">@Murphy19</w:t>
      </w:r>
      <w:r>
        <w:t xml:space="preserve"> </w:t>
      </w:r>
      <w:r>
        <w:t xml:space="preserve">was to call</w:t>
      </w:r>
      <w:r>
        <w:t xml:space="preserve"> </w:t>
      </w:r>
      <m:oMath>
        <m:sSub>
          <m:e>
            <m:r>
              <m:t>Z</m:t>
            </m:r>
          </m:e>
          <m:sub>
            <m:r>
              <m:t>p</m:t>
            </m:r>
          </m:sub>
        </m:sSub>
      </m:oMath>
      <w:r>
        <w:t xml:space="preserve"> </w:t>
      </w:r>
      <w:r>
        <w:t xml:space="preserve">the “prediction vector”. If I follow their notation, it is the vector of spline basis function evaluations, so it is used to predict</w:t>
      </w:r>
      <w:r>
        <w:t xml:space="preserve"> </w:t>
      </w:r>
      <w:r>
        <w:rPr>
          <w:rStyle w:val="VerbatimChar"/>
        </w:rPr>
        <w:t xml:space="preserve">y</w:t>
      </w:r>
      <w:r>
        <w:t xml:space="preserve"> </w:t>
      </w:r>
      <w:r>
        <w:t xml:space="preserve">but is not itself a set of predictions.)</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this section we explain how to use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to investigate across-year trends of within-year features. In worked examples, we use as features two seasonal averages of Chl-A, one for January-July and the other for August-December. These periods are chosen for their relevance to California’s climate. (In the</w:t>
      </w:r>
      <w:r>
        <w:t xml:space="preserve"> </w:t>
      </w:r>
      <w:r>
        <w:rPr>
          <w:i/>
        </w:rPr>
        <w:t xml:space="preserve">Discussion</w:t>
      </w:r>
      <w:r>
        <w:t xml:space="preserve"> </w:t>
      </w:r>
      <w:r>
        <w:t xml:space="preserve">we consider other features of interest that may be obtained from estimated GAMs.) For any feature of interest, as long as its estimates come with associated standard errors, we give meta-analysis methods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[A third question would be</w:t>
      </w:r>
      <w:r>
        <w:t xml:space="preserve"> </w:t>
      </w:r>
      <w:r>
        <w:t xml:space="preserve">“</w:t>
      </w:r>
      <w:r>
        <w:t xml:space="preserve">3. Are there significant trends or non-linear fluctuations across years in a seasonal average, where the time-scale of trends is chosen by statistical criteria?</w:t>
      </w:r>
      <w:r>
        <w:t xml:space="preserve">”</w:t>
      </w:r>
      <w:r>
        <w:t xml:space="preserve"> </w:t>
      </w:r>
      <w:r>
        <w:t xml:space="preserve">This needs further work. My current instinct is that this is too much for this paper, but it should be discussed.]</w:t>
      </w:r>
    </w:p>
    <w:p>
      <w:pPr>
        <w:pStyle w:val="BodyText"/>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6" w:name="X7ad58e57f24287263065d98eb37e2e0c87b29c0"/>
      <w:r>
        <w:t xml:space="preserve">Differences among years in seasonal averages</w:t>
      </w:r>
      <w:bookmarkEnd w:id="36"/>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For example, this is provided in R package</w:t>
      </w:r>
      <w:r>
        <w:t xml:space="preserve"> </w:t>
      </w:r>
      <w:r>
        <w:rPr>
          <w:rStyle w:val="VerbatimChar"/>
        </w:rPr>
        <w:t xml:space="preserve">multcomp</w:t>
      </w:r>
      <w:r>
        <w:t xml:space="preserve">. While this package typically uses the results of a linear or generalized linear model fit as input, it is easy to set up the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as inputs. Details are given in the Appendix.</w:t>
      </w:r>
    </w:p>
    <w:p>
      <w:pPr>
        <w:pStyle w:val="Heading3"/>
      </w:pPr>
      <w:bookmarkStart w:id="37" w:name="Xbb2d851c395f09e1bdc0c3d788c0750828f65bf"/>
      <w:r>
        <w:t xml:space="preserve">Linear trends across years at a chosen time-scale of interest</w:t>
      </w:r>
      <w:bookmarkEnd w:id="37"/>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This is assumed to be normally disributed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which is assumed known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what would be considered the</w:t>
      </w:r>
      <w:r>
        <w:t xml:space="preserve"> </w:t>
      </w:r>
      <w:r>
        <w:t xml:space="preserve">“</w:t>
      </w:r>
      <w:r>
        <w:t xml:space="preserve">residual</w:t>
      </w:r>
      <w:r>
        <w:t xml:space="preserve">”</w:t>
      </w:r>
      <w:r>
        <w:t xml:space="preserve"> </w:t>
      </w:r>
      <w:r>
        <w:t xml:space="preserve">in the sense of unexplained variation not due to the estimation error. This is assumed normal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this model</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handles this model as a linear mixed effects model with some variance components fixed. The default estimation method is restricted maximum likelihood (REML).</w:t>
      </w:r>
    </w:p>
    <w:p>
      <w:pPr>
        <w:pStyle w:val="BodyText"/>
      </w:pPr>
      <w:r>
        <w:t xml:space="preserve">We apply this method for windows of a chosen width of years. In this way, one can ask whether there is a significant linear trend in Chl-A over a chosen series of years, taking into account all the data in those years.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incorporates such differences in uncertainty magnitudes.</w:t>
      </w:r>
    </w:p>
    <w:p>
      <w:pPr>
        <w:pStyle w:val="Heading1"/>
      </w:pPr>
      <w:bookmarkStart w:id="38" w:name="results"/>
      <w:r>
        <w:t xml:space="preserve">Results</w:t>
      </w:r>
      <w:bookmarkEnd w:id="38"/>
    </w:p>
    <w:p>
      <w:pPr>
        <w:pStyle w:val="Heading2"/>
      </w:pPr>
      <w:bookmarkStart w:id="39" w:name="model-performance-and-observed-results"/>
      <w:r>
        <w:t xml:space="preserve">Model performance and observed results</w:t>
      </w:r>
      <w:bookmarkEnd w:id="39"/>
    </w:p>
    <w:p>
      <w:pPr>
        <w:pStyle w:val="FirstParagraph"/>
      </w:pPr>
      <w:r>
        <w:t xml:space="preserve">A total of six models (three GAM structures, two link functions) were fit to each of nine stations, producing summary statistics for 18 different models (Table</w:t>
      </w:r>
      <w:r>
        <w:t xml:space="preserve"> </w:t>
      </w:r>
      <w:r>
        <w:t xml:space="preserve">3</w:t>
      </w:r>
      <w:r>
        <w:t xml:space="preserve">). Chlorophyll trends were generally well-explained across all models and stations, with an average R-squared value equal to 53% and ranging from 37% (Const seas log-model at station 34) to 77% (Const seas* log-model at station 32). The constant season model had the worst performance for all stations (average R</w:t>
      </w:r>
      <m:oMath>
        <m:sSup>
          <m:e>
            <m:r>
              <m:t>​</m:t>
            </m:r>
          </m:e>
          <m:sup>
            <m:r>
              <m:t>2</m:t>
            </m:r>
          </m:sup>
        </m:sSup>
      </m:oMath>
      <w:r>
        <w:t xml:space="preserve"> </w:t>
      </w:r>
      <w:r>
        <w:t xml:space="preserve">44%), with either the interactive season or constant season* model having improved measures of model fit. For all but stations 18 and 22, the constant season* model provided significantly lower AIC and GCV scores and higher R-squared values compared to the interactive season models. For station 18, the interactive season and constant season* models provided only a marginal improvement over the constant season model. For station 22, the interactive season and constant season* models provided similar but much improved fit to the data as compared to the constant season model. Moeel performance comparing either Box-Cox or logarithmic link functions were similar (average R</w:t>
      </w:r>
      <m:oMath>
        <m:sSup>
          <m:e>
            <m:r>
              <m:t>​</m:t>
            </m:r>
          </m:e>
          <m:sup>
            <m:r>
              <m:t>2</m:t>
            </m:r>
          </m:sup>
        </m:sSup>
      </m:oMath>
      <w:r>
        <w:t xml:space="preserve"> </w:t>
      </w:r>
      <w:r>
        <w:t xml:space="preserve">values of 54% and 53% respectively), although the logarithmic models had slightly improved model performance. Station 18 was the only location where the three GAM models were not significantly different from each other for the Box-Cox transformation.</w:t>
      </w:r>
    </w:p>
    <w:p>
      <w:pPr>
        <w:pStyle w:val="BodyText"/>
      </w:pPr>
      <w:r>
        <w:t xml:space="preserve">GAM predictions from north to south on the longitudinal axis provided different descriptions of annual and seasonal changes in chlorophyll. Four representative stations are shown in Figure</w:t>
      </w:r>
      <w:r>
        <w:t xml:space="preserve"> </w:t>
      </w:r>
      <w:r>
        <w:t xml:space="preserve">5</w:t>
      </w:r>
      <w:r>
        <w:t xml:space="preserve"> </w:t>
      </w:r>
      <w:r>
        <w:t xml:space="preserve">that capture spatial variation in chlorophyll and different temporal trends described by the models.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However, the magnitude of the fall peak at more southern stations shifted over time depending on the model. In particular, the interactive season model indicates a shift in the magnitude of the fall peak at stations 24, 27, and 32 with maximum concentrations observed around the mid-early 2000s. The annual trends for all models suggested similar trends over time, i.e., an increase followed by a recent decrease, whereas the constant season* models with an unconstrained smoother on the</w:t>
      </w:r>
      <w:r>
        <w:t xml:space="preserve"> </w:t>
      </w:r>
      <w:r>
        <w:rPr>
          <w:rStyle w:val="VerbatimChar"/>
        </w:rPr>
        <w:t xml:space="preserve">decYear</w:t>
      </w:r>
      <w:r>
        <w:t xml:space="preserve"> </w:t>
      </w:r>
      <w:r>
        <w:t xml:space="preserve">predictor varied considerably at station 24, 27, and 32. Annual trends at these stations were difficult to generalize and had substantial overlap with the seasonal trends. Conversely, station 18 had minimal visual differences in annual and seasonal trends across all models, which is reflected by similarities in the model performance statistics in Table</w:t>
      </w:r>
      <w:r>
        <w:t xml:space="preserve"> </w:t>
      </w:r>
      <w:r>
        <w:t xml:space="preserve">3</w:t>
      </w:r>
      <w:r>
        <w:t xml:space="preserve">.</w:t>
      </w:r>
    </w:p>
    <w:p>
      <w:pPr>
        <w:pStyle w:val="Heading2"/>
      </w:pPr>
      <w:bookmarkStart w:id="40" w:name="trend-estimates"/>
      <w:r>
        <w:t xml:space="preserve">Trend estimates</w:t>
      </w:r>
      <w:bookmarkEnd w:id="40"/>
    </w:p>
    <w:p>
      <w:pPr>
        <w:pStyle w:val="FirstParagraph"/>
      </w:pPr>
      <w:r>
        <w:t xml:space="preserve">Examples of results provided by the trend tests are shown for station 34, with estimates of percent change between year pairs and seasonal trend results for January to July and August to December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57.7% increase, although the change is insignificant. However, the change from 2000 to 2010 was statistically significant with an increase of 78%. The period from 2010 to 2017 showed a significant decrease of 39.8%. An assessment of the annual differences indicated if changes overall were observed, but provides no information on seasonal shifts that may have contributed to these differences. The results in figure</w:t>
      </w:r>
      <w:r>
        <w:t xml:space="preserve"> </w:t>
      </w:r>
      <w:r>
        <w:t xml:space="preserve">5</w:t>
      </w:r>
      <w:r>
        <w:t xml:space="preserve">d-i show results from mixed-meta regression analysis to indicate which seasonal changes were contributing to the annual differences. Rows d-f show the seasonal averages and trend estimates for the same year periods in rows a-c, but only for months from January to July. Similarly, rows g-i show the seasonal averages and trend estimates from August to December. The seasonal trend results suggested that the increase in annual averages from 2000 to 2010 was likely caused by an increase in chlorophyll values in the fall (Figure</w:t>
      </w:r>
      <w:r>
        <w:t xml:space="preserve"> </w:t>
      </w:r>
      <w:r>
        <w:t xml:space="preserve">5</w:t>
      </w:r>
      <w:r>
        <w:t xml:space="preserve">h). Seasonal changes from 2010 to 2017 showed that neither the January to July nor August to December changes were significant, suggesting an overall decrease in chlorophyll across all seasons may have recently occurred.</w:t>
      </w:r>
    </w:p>
    <w:p>
      <w:pPr>
        <w:pStyle w:val="BodyText"/>
      </w:pPr>
      <w:r>
        <w:t xml:space="preserve">Spatial variation in trends suggested that most stations in South Bay had increasing chlorophyll from 1990 to 2010 following a decrease in recent years, although many trends were not significant and varied by location (Figure</w:t>
      </w:r>
      <w:r>
        <w:t xml:space="preserve"> </w:t>
      </w:r>
      <w:r>
        <w:t xml:space="preserve">6</w:t>
      </w:r>
      <w:r>
        <w:t xml:space="preserve">a). From 1990 to 2000, only station 18 and 22 in the northern part of South Bay had significant increasing trends. The magnitude of the chlorophyll increase in the southernmost stations (34, 36) was higher during this same period, although the trends were not significant. From 2000 to 2010, significant increases were observed at the three northern-most stations (18, 21, and 22) and two southern stations (32, 34). From 2010 to 2016, all four southern stations had significant decreases in annual chlorophyll. The spatial trends were further evaluated with mixed-meta regression analysis to provide additional context to the annual changes by evaluating trends from January to July and August to December (Figure</w:t>
      </w:r>
      <w:r>
        <w:t xml:space="preserve"> </w:t>
      </w:r>
      <w:r>
        <w:t xml:space="preserve">6</w:t>
      </w:r>
      <w:r>
        <w:t xml:space="preserve">b). For the January to July period, significant changes were only observed at the southern stations, with increases at station 34 and 36 from 1990-2000, an increase at station 34 from 2000-2010, and a decrease at station 32 form 2010 to 2016. No significant changes were observed for the August to December period.</w:t>
      </w:r>
    </w:p>
    <w:p>
      <w:pPr>
        <w:pStyle w:val="BodyText"/>
      </w:pPr>
      <w:r>
        <w:t xml:space="preserve">A final analysis of the seasonal trends evaluated more discrete monthly periods in three month blocks to provide finer resolution to explain trends from the GAM results (Table</w:t>
      </w:r>
      <w:r>
        <w:t xml:space="preserve"> </w:t>
      </w:r>
      <w:r>
        <w:t xml:space="preserve">4</w:t>
      </w:r>
      <w:r>
        <w:t xml:space="preserve">). Many stations and time periods did not show any seasonal chlorophyll trends or only had one significant trend (e.g., stations 21 and 24, JFM period from 2000-2010). However, several trends were observed in the southern stations, with two significant trends at station 32, six at station 34, and three at station 36. Trends at station 32 indicated a positive increase in the JFM (January, February, March) period from 2000-2010, followed by a significant decrease for the same seasonal period from 2010-2016. Station 34 had significant increases in the JFM period from 1990-2010 and all other periods the OND (October, November, December) period for 2000 to 2010. Significant decreases were observed at station 34 in the JFM and AMJ (April, March, July) period from 2010 to 2016. Station 36 had significant chlorophyll increases in all seasons, except OND for the 1990 to 2000 period. Accordingly, table</w:t>
      </w:r>
      <w:r>
        <w:t xml:space="preserve"> </w:t>
      </w:r>
      <w:r>
        <w:t xml:space="preserve">4</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Heading2"/>
      </w:pPr>
      <w:bookmarkStart w:id="41" w:name="trend-comparisons"/>
      <w:r>
        <w:t xml:space="preserve">Trend comparisons</w:t>
      </w:r>
      <w:bookmarkEnd w:id="41"/>
    </w:p>
    <w:p>
      <w:pPr>
        <w:pStyle w:val="FirstParagraph"/>
      </w:pPr>
      <w:r>
        <w:t xml:space="preserve">Trends results from the mixed-meta regression method for each season and different time periods were compared to alternative trend analyses to demonstrate different conclusions that can be derived depending on method. Figure</w:t>
      </w:r>
      <w:r>
        <w:t xml:space="preserve"> </w:t>
      </w:r>
      <w:r>
        <w:t xml:space="preserve">7</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trend methods were used where the first shows slope estimates from a linear regression on annual averages of observed chlorophyll for the specified seasonal period and the second shows slope estimates from a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7</w:t>
      </w:r>
      <w:r>
        <w:t xml:space="preserve">). The slope estimates from the linear model applied to the observed data were understandably more variable than the slope estimate from the average and mixed-meta methods, with much larger slopes observed especially at the more southern stations. Slope estimates from the linear model applied to the averages from the GAMs as compared ot the mixed-meta results were identical at almost all stations, excluding station 32 in the January-July period from 1990-2000 when the former showed a negative slope and the latter showed a positive slope.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42" w:name="discussion"/>
      <w:r>
        <w:t xml:space="preserve">Discussion</w:t>
      </w:r>
      <w:bookmarkEnd w:id="42"/>
    </w:p>
    <w:p>
      <w:pPr>
        <w:pStyle w:val="Heading1"/>
      </w:pPr>
      <w:bookmarkStart w:id="43" w:name="conclusions"/>
      <w:r>
        <w:t xml:space="preserve">Conclusions</w:t>
      </w:r>
      <w:bookmarkEnd w:id="43"/>
    </w:p>
    <w:p>
      <w:pPr>
        <w:pStyle w:val="Heading1"/>
      </w:pPr>
      <w:bookmarkStart w:id="44" w:name="acknowledgments"/>
      <w:r>
        <w:t xml:space="preserve">Acknowledgments</w:t>
      </w:r>
      <w:bookmarkEnd w:id="44"/>
    </w:p>
    <w:p>
      <w:pPr>
        <w:pStyle w:val="Heading1"/>
      </w:pPr>
      <w:bookmarkStart w:id="45" w:name="figures"/>
      <w:r>
        <w:t xml:space="preserve">Figures</w:t>
      </w:r>
      <w:bookmarkEnd w:id="45"/>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GAM structures for constant season, interactive season, and constant season*.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GAM structures for constant season, interactive season, and constant season*.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Const sea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Const seas*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53" w:name="tables"/>
      <w:r>
        <w:t xml:space="preserve">Tables</w:t>
      </w:r>
      <w:bookmarkEnd w:id="53"/>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w:t>
      </w:r>
    </w:p>
    <w:tbl>
      <w:tblPr>
        <w:tblStyle w:val="Table"/>
        <w:tblW w:type="pct" w:w="5000.0"/>
        <w:tblLook w:firstRow="1"/>
        <w:tblCaption w:val="Table 2: Summary and details for each of the GAM structures."/>
      </w:tblPr>
      <w:tblGrid>
        <w:gridCol w:w="600"/>
        <w:gridCol w:w="1601"/>
        <w:gridCol w:w="5718"/>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Constant season</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Interactive season</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Const seas</w:t>
            </w:r>
            <w:r>
              <w:t xml:space="preserve">; and Within-year seasonal fluctuations that vary across years but in a constrained pattern compared to</w:t>
            </w:r>
            <w:r>
              <w:t xml:space="preserve"> </w:t>
            </w:r>
            <w:r>
              <w:rPr>
                <w:rStyle w:val="VerbatimChar"/>
              </w:rPr>
              <w:t xml:space="preserve">Const seas*</w:t>
            </w:r>
            <w:r>
              <w:t xml:space="preserve"> </w:t>
            </w:r>
            <w:r>
              <w:t xml:space="preserve">(</w:t>
            </w:r>
            <w:r>
              <w:rPr>
                <w:rStyle w:val="VerbatimChar"/>
              </w:rPr>
              <w:t xml:space="preserve">ti(decYear, doy, bs = c("tp", "cc"))</w:t>
            </w:r>
            <w:r>
              <w:t xml:space="preserve">)</w:t>
            </w:r>
          </w:p>
        </w:tc>
      </w:tr>
      <w:tr>
        <w:tc>
          <w:p>
            <w:pPr>
              <w:pStyle w:val="Compact"/>
              <w:jc w:val="left"/>
            </w:pPr>
            <w:r>
              <w:rPr>
                <w:rStyle w:val="VerbatimChar"/>
              </w:rPr>
              <w:t xml:space="preserve">Constant season*</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Const seas</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logarithmic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Const seas</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Const seas</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105"/>
        <w:tblLook w:firstRow="1" w:lastRow="0" w:firstColumn="0" w:lastColumn="0" w:noHBand="0" w:noVBand="1"/>
      </w:tblPr>
      <w:tblGrid>
        <w:gridCol w:w="642"/>
        <w:gridCol w:w="1273"/>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6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54" w:name="supplement"/>
      <w:r>
        <w:t xml:space="preserve">Supplement</w:t>
      </w:r>
      <w:bookmarkEnd w:id="54"/>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5" w:name="references"/>
      <w:r>
        <w:t xml:space="preserve">References</w:t>
      </w:r>
      <w:bookmarkEnd w:id="55"/>
    </w:p>
    <w:bookmarkStart w:id="87" w:name="refs"/>
    <w:bookmarkStart w:id="56" w:name="ref-Beck15"/>
    <w:p>
      <w:pPr>
        <w:pStyle w:val="Bibliography"/>
      </w:pPr>
      <w:r>
        <w:t xml:space="preserve">Beck, M. W., and J. D. Hagy III. 2015. Adaptation of a weighted regression approach to evaluate water quality trends in an estuary. Environmental Modelling and Assessment 20:637–655.</w:t>
      </w:r>
    </w:p>
    <w:bookmarkEnd w:id="56"/>
    <w:bookmarkStart w:id="57"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7"/>
    <w:bookmarkStart w:id="58" w:name="ref-Cleveland90"/>
    <w:p>
      <w:pPr>
        <w:pStyle w:val="Bibliography"/>
      </w:pPr>
      <w:r>
        <w:t xml:space="preserve">Cleveland, R. B., W. S. Cleveland, J. E. McRae, and I. Terpenning. 1990. STL: A seasonal-trend decomposition procedure based on Loess. Journal of Official Statistics 6:3–73.</w:t>
      </w:r>
    </w:p>
    <w:bookmarkEnd w:id="58"/>
    <w:bookmarkStart w:id="59" w:name="ref-Cloern10"/>
    <w:p>
      <w:pPr>
        <w:pStyle w:val="Bibliography"/>
      </w:pPr>
      <w:r>
        <w:t xml:space="preserve">Cloern, J. E., and A. D. Jassby. 2010. Patterns and scales of phytoplankton variability in estuarine-coastal ecosystems. Estuaries and Coasts 33:230–241.</w:t>
      </w:r>
    </w:p>
    <w:bookmarkEnd w:id="59"/>
    <w:bookmarkStart w:id="60" w:name="ref-Cloern16"/>
    <w:p>
      <w:pPr>
        <w:pStyle w:val="Bibliography"/>
      </w:pPr>
      <w:r>
        <w:t xml:space="preserve">Cloern, J. E., and T. S. Schraga. 2016. USGS measurements of water quality in San Francisco Bay (CA), 1969-2015: U.S. Geological Survey data release. https://doi.org/10.5066/F7TQ5ZPR.</w:t>
      </w:r>
    </w:p>
    <w:bookmarkEnd w:id="60"/>
    <w:bookmarkStart w:id="61" w:name="ref-Cloern20"/>
    <w:p>
      <w:pPr>
        <w:pStyle w:val="Bibliography"/>
      </w:pPr>
      <w:r>
        <w:t xml:space="preserve">Cloern, J. E., T. S. Shcraga, E. Nejad, and C. Martin. 2020. Nutrient status of San Francisco Bay and its management implications. Estuaries &amp; Coasts 43:1299–1317.</w:t>
      </w:r>
    </w:p>
    <w:bookmarkEnd w:id="61"/>
    <w:bookmarkStart w:id="62" w:name="ref-Cumming06"/>
    <w:p>
      <w:pPr>
        <w:pStyle w:val="Bibliography"/>
      </w:pPr>
      <w:r>
        <w:t xml:space="preserve">Cumming, G. S., D. H. M. Cumming, and C. L. Redman. 2006. Scale mismatches in social-ecological systems: Causes, consequences, and solutions. Ecology and Society 11:14.</w:t>
      </w:r>
    </w:p>
    <w:bookmarkEnd w:id="62"/>
    <w:bookmarkStart w:id="63" w:name="ref-Forbes18"/>
    <w:p>
      <w:pPr>
        <w:pStyle w:val="Bibliography"/>
      </w:pPr>
      <w:r>
        <w:t xml:space="preserve">Forbes, D. J., and Z. Xie. 2018. Identifying process scales in the Indian River Lagoon, Florida using wavelet transform analysis of dissolved oxygen. Ecological Complexity 36:149–167.</w:t>
      </w:r>
    </w:p>
    <w:bookmarkEnd w:id="63"/>
    <w:bookmarkStart w:id="64" w:name="ref-Gasparrini12"/>
    <w:p>
      <w:pPr>
        <w:pStyle w:val="Bibliography"/>
      </w:pPr>
      <w:r>
        <w:t xml:space="preserve">Gasparrini, A., B. Armstrong, and M. G. Kenward. 2012. Multivariate meta-analysis for non-linear and other multi-parameter associations. Statistics in Medicine 31:3821–3839.</w:t>
      </w:r>
    </w:p>
    <w:bookmarkEnd w:id="64"/>
    <w:bookmarkStart w:id="65" w:name="ref-Hafen10"/>
    <w:p>
      <w:pPr>
        <w:pStyle w:val="Bibliography"/>
      </w:pPr>
      <w:r>
        <w:t xml:space="preserve">Hafen, R. P. 2010. Local regression models: Advancements, applications, and new methods. PhD thesis, Purdue University, West Lafayette, Indiana.</w:t>
      </w:r>
    </w:p>
    <w:bookmarkEnd w:id="65"/>
    <w:bookmarkStart w:id="66"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6"/>
    <w:bookmarkStart w:id="67" w:name="ref-He06"/>
    <w:p>
      <w:pPr>
        <w:pStyle w:val="Bibliography"/>
      </w:pPr>
      <w:r>
        <w:t xml:space="preserve">He, S., S. Mazumdar, and V. C. Arena. 2006. A comparative study of the use of GAM and GLM in air pollution research. Environmetrics 17:81–93.</w:t>
      </w:r>
    </w:p>
    <w:bookmarkEnd w:id="67"/>
    <w:bookmarkStart w:id="68"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8"/>
    <w:bookmarkStart w:id="69" w:name="ref-Hirsch15"/>
    <w:p>
      <w:pPr>
        <w:pStyle w:val="Bibliography"/>
      </w:pPr>
      <w:r>
        <w:t xml:space="preserve">Hirsch, R. M., S. A. Archfield, and L. A. De Cicco. 2015. A bootstrap method for estimating uncertainty of water quality trends. Environmental Modelling and Software 73:148–166.</w:t>
      </w:r>
    </w:p>
    <w:bookmarkEnd w:id="69"/>
    <w:bookmarkStart w:id="70"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0"/>
    <w:bookmarkStart w:id="71" w:name="ref-Hirsch82"/>
    <w:p>
      <w:pPr>
        <w:pStyle w:val="Bibliography"/>
      </w:pPr>
      <w:r>
        <w:t xml:space="preserve">Hirsch, R. M., J. R. Slack, and R. A. Smith. 1982. Techniques of trend analysis for monthly water quality data. Water Resources Research 18:107–121.</w:t>
      </w:r>
    </w:p>
    <w:bookmarkEnd w:id="71"/>
    <w:bookmarkStart w:id="72"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2"/>
    <w:bookmarkStart w:id="73" w:name="ref-Morton08"/>
    <w:p>
      <w:pPr>
        <w:pStyle w:val="Bibliography"/>
      </w:pPr>
      <w:r>
        <w:t xml:space="preserve">Morton, R., and B. L. Henderson. 2008. Estimation of nonlinear trends in water quality: An improved approach using generalized additive models. Water Resources Research 44:W07420.</w:t>
      </w:r>
    </w:p>
    <w:bookmarkEnd w:id="73"/>
    <w:bookmarkStart w:id="74"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4"/>
    <w:bookmarkStart w:id="7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5"/>
    <w:bookmarkStart w:id="76"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6"/>
    <w:bookmarkStart w:id="77"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7"/>
    <w:bookmarkStart w:id="78" w:name="ref-Sera19"/>
    <w:p>
      <w:pPr>
        <w:pStyle w:val="Bibliography"/>
      </w:pPr>
      <w:r>
        <w:t xml:space="preserve">Sera, F., B. Armstrong, M. Blangiardo, and A. Gasparrini. 2019. An extended mixed-effects framework for meta-analysis. Statistics in Medicine 38:5429–5444.</w:t>
      </w:r>
    </w:p>
    <w:bookmarkEnd w:id="78"/>
    <w:bookmarkStart w:id="79"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79"/>
    <w:bookmarkStart w:id="80"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80"/>
    <w:bookmarkStart w:id="81" w:name="ref-Urquhart98"/>
    <w:p>
      <w:pPr>
        <w:pStyle w:val="Bibliography"/>
      </w:pPr>
      <w:r>
        <w:t xml:space="preserve">Urquhart, N. S., S. G. Paulsen, and D. P. Larsen. 1998. Monitoring for policy-relevant regional trends over time. Ecological Applications 8:246–257.</w:t>
      </w:r>
    </w:p>
    <w:bookmarkEnd w:id="81"/>
    <w:bookmarkStart w:id="82" w:name="ref-Wan17"/>
    <w:p>
      <w:pPr>
        <w:pStyle w:val="Bibliography"/>
      </w:pPr>
      <w:r>
        <w:t xml:space="preserve">Wan, Y., L. Wan, Y. Li, and P. Doering. 2017. Decadal and seasonal trends of nutrient concentration and export from highly managed coastal catchments. Water Research 115:180–194.</w:t>
      </w:r>
    </w:p>
    <w:bookmarkEnd w:id="82"/>
    <w:bookmarkStart w:id="83" w:name="ref-Wood03"/>
    <w:p>
      <w:pPr>
        <w:pStyle w:val="Bibliography"/>
      </w:pPr>
      <w:r>
        <w:t xml:space="preserve">Wood, S. N. 2003. Thin-plate regression splines. Journal of the Royal Statistical Society (B) 65:95–114.</w:t>
      </w:r>
    </w:p>
    <w:bookmarkEnd w:id="83"/>
    <w:bookmarkStart w:id="84" w:name="ref-Wood04"/>
    <w:p>
      <w:pPr>
        <w:pStyle w:val="Bibliography"/>
      </w:pPr>
      <w:r>
        <w:t xml:space="preserve">Wood, S. N. 2004. Stable and efficient multiple smoothing parameter estimation for generalized additive models. Journal of the American Statistical Association 99:673–686.</w:t>
      </w:r>
    </w:p>
    <w:bookmarkEnd w:id="84"/>
    <w:bookmarkStart w:id="85" w:name="ref-Wood17"/>
    <w:p>
      <w:pPr>
        <w:pStyle w:val="Bibliography"/>
      </w:pPr>
      <w:r>
        <w:t xml:space="preserve">Wood, S. N. 2017. Generalized additive models: An introduction with r. Page 476. 2nd editions. Chapman; Hall, CRC Press, London, United Kingdom.</w:t>
      </w:r>
    </w:p>
    <w:bookmarkEnd w:id="85"/>
    <w:bookmarkStart w:id="86" w:name="ref-Yang20"/>
    <w:p>
      <w:pPr>
        <w:pStyle w:val="Bibliography"/>
      </w:pPr>
      <w:r>
        <w:t xml:space="preserve">Yang, G., and D. L. Moyer. 2020. Estimation of nonlinear water-quality trends in high-frequency monitoring data. Science of The Total Enviornment 715:10.1016/j.scitotenv.2020.136686.</w:t>
      </w:r>
    </w:p>
    <w:bookmarkEnd w:id="86"/>
    <w:bookmarkEnd w:id="87"/>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2020-10-24T18:01:59Z</dcterms:created>
  <dcterms:modified xsi:type="dcterms:W3CDTF">2020-10-24T18:01:59Z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